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F3904" w14:textId="77777777" w:rsidR="00351D43" w:rsidRDefault="00351D43" w:rsidP="007D34CB">
      <w:pPr>
        <w:spacing w:before="120" w:after="120" w:line="264" w:lineRule="auto"/>
        <w:ind w:left="-5"/>
      </w:pPr>
      <w:bookmarkStart w:id="0" w:name="_GoBack"/>
      <w:bookmarkEnd w:id="0"/>
      <w:r>
        <w:rPr>
          <w:b/>
        </w:rPr>
        <w:t xml:space="preserve">Disclaimer: Diese Checkliste soll als Hilfestellung bei der korrekten Einteilung in das maßgebliche Kontingent beim Aufnahmeverfahren Humanmedizin dienen, sie ist nicht vollständig und auch nicht rechtsbindend! </w:t>
      </w:r>
    </w:p>
    <w:p w14:paraId="48DAF6EA" w14:textId="77777777" w:rsidR="00351D43" w:rsidRDefault="00351D43" w:rsidP="007D34CB">
      <w:pPr>
        <w:spacing w:before="120" w:after="120"/>
        <w:ind w:left="-5"/>
      </w:pPr>
      <w:r>
        <w:t>Im Zuge der Internet-Anmeldung zum Aufnahmeverfahren Humanmedizin (MedAT-H) muss das für die Vergabe der Studienplätze erforderliche Kontingent angegeben werden.</w:t>
      </w:r>
    </w:p>
    <w:p w14:paraId="133F4C26" w14:textId="77777777" w:rsidR="00351D43" w:rsidRDefault="00857EB7" w:rsidP="007D34CB">
      <w:pPr>
        <w:spacing w:before="120" w:after="120"/>
        <w:ind w:left="-5"/>
      </w:pPr>
      <w:r>
        <w:t>Dabei unterscheidet man:</w:t>
      </w:r>
    </w:p>
    <w:p w14:paraId="7E590732" w14:textId="0F2A2119" w:rsidR="00351D43" w:rsidRPr="00650BF6" w:rsidRDefault="00EE0406" w:rsidP="007D34CB">
      <w:pPr>
        <w:numPr>
          <w:ilvl w:val="0"/>
          <w:numId w:val="1"/>
        </w:numPr>
        <w:spacing w:before="120" w:after="120" w:line="264" w:lineRule="auto"/>
        <w:ind w:hanging="360"/>
        <w:jc w:val="left"/>
        <w:rPr>
          <w:rStyle w:val="IntensiveHervorhebung"/>
        </w:rPr>
      </w:pPr>
      <w:r w:rsidRPr="00650BF6">
        <w:rPr>
          <w:rStyle w:val="IntensiveHervorhebung"/>
        </w:rPr>
        <w:fldChar w:fldCharType="begin"/>
      </w:r>
      <w:r w:rsidRPr="00650BF6">
        <w:rPr>
          <w:rStyle w:val="IntensiveHervorhebung"/>
        </w:rPr>
        <w:instrText xml:space="preserve"> REF _Ref161919080 \h  \* MERGEFORMAT </w:instrText>
      </w:r>
      <w:r w:rsidRPr="00650BF6">
        <w:rPr>
          <w:rStyle w:val="IntensiveHervorhebung"/>
        </w:rPr>
      </w:r>
      <w:r w:rsidRPr="00650BF6">
        <w:rPr>
          <w:rStyle w:val="IntensiveHervorhebung"/>
        </w:rPr>
        <w:fldChar w:fldCharType="separate"/>
      </w:r>
      <w:r w:rsidR="004A590C" w:rsidRPr="004A590C">
        <w:rPr>
          <w:rStyle w:val="IntensiveHervorhebung"/>
        </w:rPr>
        <w:t>Österreich-Kontingent</w:t>
      </w:r>
      <w:r w:rsidRPr="00650BF6">
        <w:rPr>
          <w:rStyle w:val="IntensiveHervorhebung"/>
        </w:rPr>
        <w:fldChar w:fldCharType="end"/>
      </w:r>
    </w:p>
    <w:p w14:paraId="38760E9D" w14:textId="6B179AF0" w:rsidR="00351D43" w:rsidRPr="00650BF6" w:rsidRDefault="00EE0406" w:rsidP="007D34CB">
      <w:pPr>
        <w:numPr>
          <w:ilvl w:val="0"/>
          <w:numId w:val="1"/>
        </w:numPr>
        <w:spacing w:before="120" w:after="120" w:line="264" w:lineRule="auto"/>
        <w:ind w:hanging="360"/>
        <w:jc w:val="left"/>
        <w:rPr>
          <w:rStyle w:val="IntensiveHervorhebung"/>
        </w:rPr>
      </w:pPr>
      <w:r w:rsidRPr="00650BF6">
        <w:rPr>
          <w:rStyle w:val="IntensiveHervorhebung"/>
        </w:rPr>
        <w:fldChar w:fldCharType="begin"/>
      </w:r>
      <w:r w:rsidRPr="00650BF6">
        <w:rPr>
          <w:rStyle w:val="IntensiveHervorhebung"/>
        </w:rPr>
        <w:instrText xml:space="preserve"> REF _Ref161919088 \h  \* MERGEFORMAT </w:instrText>
      </w:r>
      <w:r w:rsidRPr="00650BF6">
        <w:rPr>
          <w:rStyle w:val="IntensiveHervorhebung"/>
        </w:rPr>
      </w:r>
      <w:r w:rsidRPr="00650BF6">
        <w:rPr>
          <w:rStyle w:val="IntensiveHervorhebung"/>
        </w:rPr>
        <w:fldChar w:fldCharType="separate"/>
      </w:r>
      <w:r w:rsidR="004A590C" w:rsidRPr="004A590C">
        <w:rPr>
          <w:rStyle w:val="IntensiveHervorhebung"/>
        </w:rPr>
        <w:t>EU-Kontingent</w:t>
      </w:r>
      <w:r w:rsidRPr="00650BF6">
        <w:rPr>
          <w:rStyle w:val="IntensiveHervorhebung"/>
        </w:rPr>
        <w:fldChar w:fldCharType="end"/>
      </w:r>
    </w:p>
    <w:p w14:paraId="241B63D8" w14:textId="4277FB57" w:rsidR="00351D43" w:rsidRPr="00650BF6" w:rsidRDefault="00EE0406" w:rsidP="007D34CB">
      <w:pPr>
        <w:numPr>
          <w:ilvl w:val="0"/>
          <w:numId w:val="1"/>
        </w:numPr>
        <w:spacing w:before="120" w:after="120" w:line="264" w:lineRule="auto"/>
        <w:ind w:hanging="360"/>
        <w:jc w:val="left"/>
        <w:rPr>
          <w:rStyle w:val="IntensiveHervorhebung"/>
        </w:rPr>
      </w:pPr>
      <w:r w:rsidRPr="00650BF6">
        <w:rPr>
          <w:rStyle w:val="IntensiveHervorhebung"/>
        </w:rPr>
        <w:fldChar w:fldCharType="begin"/>
      </w:r>
      <w:r w:rsidRPr="00650BF6">
        <w:rPr>
          <w:rStyle w:val="IntensiveHervorhebung"/>
        </w:rPr>
        <w:instrText xml:space="preserve"> REF _Ref161919095 \h  \* MERGEFORMAT </w:instrText>
      </w:r>
      <w:r w:rsidRPr="00650BF6">
        <w:rPr>
          <w:rStyle w:val="IntensiveHervorhebung"/>
        </w:rPr>
      </w:r>
      <w:r w:rsidRPr="00650BF6">
        <w:rPr>
          <w:rStyle w:val="IntensiveHervorhebung"/>
        </w:rPr>
        <w:fldChar w:fldCharType="separate"/>
      </w:r>
      <w:r w:rsidR="004A590C" w:rsidRPr="004A590C">
        <w:rPr>
          <w:rStyle w:val="IntensiveHervorhebung"/>
        </w:rPr>
        <w:t>5%/Nicht-EU-Kontingent</w:t>
      </w:r>
      <w:r w:rsidRPr="00650BF6">
        <w:rPr>
          <w:rStyle w:val="IntensiveHervorhebung"/>
        </w:rPr>
        <w:fldChar w:fldCharType="end"/>
      </w:r>
    </w:p>
    <w:p w14:paraId="49D221E5" w14:textId="77777777" w:rsidR="00351D43" w:rsidRDefault="00351D43" w:rsidP="007D34CB">
      <w:pPr>
        <w:spacing w:before="120" w:after="120"/>
        <w:ind w:left="-6"/>
      </w:pPr>
      <w:r>
        <w:t xml:space="preserve">Welches Kontingent auf Sie zutrifft, können Sie mithilfe dieser Checkliste ermitteln. Sollten Sie einen der unten genannten Punkte mit „Ja“ beantworten können, trifft eine Zuteilung in das entsprechende Kontingent </w:t>
      </w:r>
      <w:r w:rsidRPr="006A0862">
        <w:rPr>
          <w:b/>
        </w:rPr>
        <w:t>wahrscheinlich</w:t>
      </w:r>
      <w:r>
        <w:t xml:space="preserve"> auf Sie zu. Studienplatzangebote werden unter Berücksichtigung Ihrer Eigenangaben in</w:t>
      </w:r>
      <w:r w:rsidR="006A0862">
        <w:t>nerhalb des</w:t>
      </w:r>
      <w:r>
        <w:t xml:space="preserve"> Kontingent</w:t>
      </w:r>
      <w:r w:rsidR="006A0862">
        <w:t>s</w:t>
      </w:r>
      <w:r>
        <w:t xml:space="preserve"> ausgesprochen. Beachten Sie, dass jegliche Fragen, die Sie mit „Ja“ beantworten, auch durch einen entsprechenden </w:t>
      </w:r>
      <w:r>
        <w:rPr>
          <w:b/>
        </w:rPr>
        <w:t xml:space="preserve">Nachweis bei der Zulassung </w:t>
      </w:r>
      <w:r>
        <w:t>belegt werden müssen!</w:t>
      </w:r>
    </w:p>
    <w:p w14:paraId="1D6B3286" w14:textId="77777777" w:rsidR="00351D43" w:rsidRDefault="00351D43" w:rsidP="007D34CB">
      <w:pPr>
        <w:spacing w:before="120" w:after="120"/>
        <w:ind w:left="-5"/>
      </w:pPr>
      <w:r>
        <w:t xml:space="preserve">Die </w:t>
      </w:r>
      <w:r>
        <w:rPr>
          <w:b/>
        </w:rPr>
        <w:t>Überprüfung</w:t>
      </w:r>
      <w:r>
        <w:t xml:space="preserve"> der Kontingenteinteilung erfolgt im Rahmen der </w:t>
      </w:r>
      <w:r>
        <w:rPr>
          <w:b/>
        </w:rPr>
        <w:t>Zulassung</w:t>
      </w:r>
      <w:r>
        <w:t xml:space="preserve">. Sollte zu diesem Zeitpunkt eine andere als die von den Studienwerber:innen angegebene Zuordnung rechtlich geboten sein, wird die Rangliste für die Vergabe </w:t>
      </w:r>
      <w:r w:rsidR="00BF1DD4">
        <w:t xml:space="preserve">des Studienplatzangebotes </w:t>
      </w:r>
      <w:r>
        <w:t>entsprechend modifiz</w:t>
      </w:r>
      <w:r w:rsidR="00BF1DD4">
        <w:t xml:space="preserve">iert. </w:t>
      </w:r>
      <w:r>
        <w:t>Bitte beachten Sie, dass</w:t>
      </w:r>
      <w:r w:rsidR="00BF1DD4">
        <w:t xml:space="preserve"> diesfalls, bei</w:t>
      </w:r>
      <w:r>
        <w:t xml:space="preserve"> Falschangaben oder fehlende</w:t>
      </w:r>
      <w:r w:rsidR="00BF1DD4">
        <w:t>r</w:t>
      </w:r>
      <w:r>
        <w:t xml:space="preserve"> Nachweise zum Zeitpunkt der Zulassung </w:t>
      </w:r>
      <w:r w:rsidR="00BF1DD4">
        <w:t>ein</w:t>
      </w:r>
      <w:r>
        <w:t xml:space="preserve"> Verlust d</w:t>
      </w:r>
      <w:r w:rsidR="00BF1DD4">
        <w:t>es Studienplatzangebotes erfolgen kann.</w:t>
      </w:r>
    </w:p>
    <w:p w14:paraId="347DFA79" w14:textId="13DBA7A6" w:rsidR="00BF1DD4" w:rsidRDefault="00BF1DD4" w:rsidP="007D34CB">
      <w:pPr>
        <w:spacing w:before="120" w:after="120"/>
        <w:ind w:left="-5"/>
        <w:rPr>
          <w:i/>
          <w:sz w:val="16"/>
          <w:szCs w:val="16"/>
        </w:rPr>
      </w:pPr>
      <w:r w:rsidRPr="000D3238">
        <w:rPr>
          <w:i/>
          <w:sz w:val="16"/>
          <w:szCs w:val="16"/>
        </w:rPr>
        <w:t xml:space="preserve">Hinweis: Bei nicht korrekter Angabe können Sie das Kontingent bis zur Einzahlung der Kostenbeteiligung in Ihrem </w:t>
      </w:r>
      <w:hyperlink r:id="rId8">
        <w:r w:rsidRPr="000D3238">
          <w:rPr>
            <w:i/>
            <w:color w:val="0563C1"/>
            <w:sz w:val="16"/>
            <w:szCs w:val="16"/>
            <w:u w:val="single" w:color="0563C1"/>
          </w:rPr>
          <w:t>MedAT</w:t>
        </w:r>
      </w:hyperlink>
      <w:hyperlink r:id="rId9">
        <w:r w:rsidRPr="000D3238">
          <w:rPr>
            <w:i/>
            <w:color w:val="0563C1"/>
            <w:sz w:val="16"/>
            <w:szCs w:val="16"/>
            <w:u w:val="single" w:color="0563C1"/>
          </w:rPr>
          <w:t>-</w:t>
        </w:r>
      </w:hyperlink>
      <w:hyperlink r:id="rId10">
        <w:r w:rsidRPr="000D3238">
          <w:rPr>
            <w:i/>
            <w:color w:val="0563C1"/>
            <w:sz w:val="16"/>
            <w:szCs w:val="16"/>
            <w:u w:val="single" w:color="0563C1"/>
          </w:rPr>
          <w:t>Account</w:t>
        </w:r>
      </w:hyperlink>
      <w:hyperlink r:id="rId11">
        <w:r w:rsidRPr="000D3238">
          <w:rPr>
            <w:i/>
            <w:sz w:val="16"/>
            <w:szCs w:val="16"/>
          </w:rPr>
          <w:t xml:space="preserve"> </w:t>
        </w:r>
      </w:hyperlink>
      <w:r w:rsidRPr="000D3238">
        <w:rPr>
          <w:i/>
          <w:sz w:val="16"/>
          <w:szCs w:val="16"/>
        </w:rPr>
        <w:t xml:space="preserve">selbstständig unter „Daten einsehen und ändern“ richtig stellen. Im Falle technischer Probleme wenden Sie sich an </w:t>
      </w:r>
      <w:hyperlink r:id="rId12" w:history="1">
        <w:r w:rsidRPr="000D3238">
          <w:rPr>
            <w:rStyle w:val="Hyperlink"/>
            <w:i/>
            <w:sz w:val="16"/>
            <w:szCs w:val="16"/>
          </w:rPr>
          <w:t>aufnahmeverfahren@i-med.ac.at</w:t>
        </w:r>
      </w:hyperlink>
      <w:r w:rsidRPr="000D3238">
        <w:rPr>
          <w:i/>
          <w:sz w:val="16"/>
          <w:szCs w:val="16"/>
        </w:rPr>
        <w:t>.</w:t>
      </w:r>
    </w:p>
    <w:p w14:paraId="6CBB42B7" w14:textId="66FB450A" w:rsidR="00160099" w:rsidRDefault="00160099" w:rsidP="007D34CB">
      <w:pPr>
        <w:spacing w:before="120" w:after="120"/>
        <w:ind w:left="-5"/>
        <w:rPr>
          <w:i/>
          <w:sz w:val="16"/>
          <w:szCs w:val="16"/>
        </w:rPr>
      </w:pPr>
    </w:p>
    <w:p w14:paraId="5FFECBD9" w14:textId="77777777" w:rsidR="00BF1DD4" w:rsidRDefault="00BF1DD4" w:rsidP="007D34CB">
      <w:pPr>
        <w:spacing w:before="120" w:after="120" w:line="259" w:lineRule="auto"/>
        <w:jc w:val="left"/>
      </w:pPr>
      <w:r>
        <w:br w:type="page"/>
      </w:r>
    </w:p>
    <w:p w14:paraId="2713F989" w14:textId="7994594E" w:rsidR="007D34CB" w:rsidRDefault="007D34CB" w:rsidP="00436406">
      <w:pPr>
        <w:pStyle w:val="berschrift1"/>
      </w:pPr>
      <w:bookmarkStart w:id="1" w:name="_Ref161919080"/>
      <w:r>
        <w:lastRenderedPageBreak/>
        <w:t>Österreich-Kontingent</w:t>
      </w:r>
      <w:bookmarkEnd w:id="1"/>
    </w:p>
    <w:p w14:paraId="26E0FCE4" w14:textId="29A898F2" w:rsidR="00BF1DD4" w:rsidRPr="00785057" w:rsidRDefault="00BF1DD4" w:rsidP="007D34CB">
      <w:pPr>
        <w:spacing w:before="120" w:after="120"/>
        <w:ind w:left="-5"/>
      </w:pPr>
      <w:r>
        <w:t xml:space="preserve">Das sogenannte „Österreich-Kontingent“ steht allen </w:t>
      </w:r>
      <w:r w:rsidRPr="002679AC">
        <w:rPr>
          <w:b/>
        </w:rPr>
        <w:t>Inhaberinnen und Inhabern</w:t>
      </w:r>
      <w:r>
        <w:t xml:space="preserve"> </w:t>
      </w:r>
      <w:r>
        <w:rPr>
          <w:b/>
        </w:rPr>
        <w:t>in Österreich ausgestellter Reifezeugnisse</w:t>
      </w:r>
      <w:r>
        <w:t xml:space="preserve"> und </w:t>
      </w:r>
      <w:r w:rsidRPr="002679AC">
        <w:rPr>
          <w:b/>
        </w:rPr>
        <w:t>Personengruppen aufgrund der</w:t>
      </w:r>
      <w:r>
        <w:t xml:space="preserve"> </w:t>
      </w:r>
      <w:hyperlink r:id="rId13" w:history="1">
        <w:r w:rsidR="004918F5" w:rsidRPr="004918F5">
          <w:rPr>
            <w:rStyle w:val="Hyperlink"/>
            <w:b/>
            <w:i/>
            <w:iCs/>
          </w:rPr>
          <w:t>Personengruppenverordnung</w:t>
        </w:r>
      </w:hyperlink>
      <w:r w:rsidR="004918F5">
        <w:rPr>
          <w:b/>
          <w:i/>
          <w:iCs/>
        </w:rPr>
        <w:t xml:space="preserve"> </w:t>
      </w:r>
      <w:r w:rsidRPr="00785057">
        <w:t>zur Verfügung.</w:t>
      </w:r>
    </w:p>
    <w:p w14:paraId="20527B51" w14:textId="77777777" w:rsidR="00502D71" w:rsidRPr="007D34CB" w:rsidRDefault="00BF1DD4" w:rsidP="007D34CB">
      <w:pPr>
        <w:spacing w:before="120" w:after="120"/>
        <w:rPr>
          <w:b/>
        </w:rPr>
      </w:pPr>
      <w:r w:rsidRPr="007D34CB">
        <w:rPr>
          <w:b/>
        </w:rPr>
        <w:t>Fragen:</w:t>
      </w:r>
    </w:p>
    <w:p w14:paraId="175186A7" w14:textId="13072D00" w:rsidR="00BF1DD4" w:rsidRDefault="00BF1DD4" w:rsidP="008062C2">
      <w:pPr>
        <w:pStyle w:val="berschrift2"/>
        <w:ind w:left="709" w:hanging="709"/>
      </w:pPr>
      <w:r w:rsidRPr="0047363D">
        <w:t xml:space="preserve">Ist ein in Österreich ausgestelltes </w:t>
      </w:r>
      <w:r w:rsidR="0047363D" w:rsidRPr="0047363D">
        <w:t>oder gleichgestelltes</w:t>
      </w:r>
      <w:r w:rsidR="0047363D">
        <w:t xml:space="preserve"> </w:t>
      </w:r>
      <w:r w:rsidR="0047363D" w:rsidRPr="0047363D">
        <w:t>Reifezeugnis</w:t>
      </w:r>
      <w:r w:rsidR="0047363D">
        <w:t xml:space="preserve"> aus</w:t>
      </w:r>
      <w:r w:rsidR="0047363D" w:rsidRPr="0047363D">
        <w:t xml:space="preserve"> (</w:t>
      </w:r>
      <w:r w:rsidR="0047363D" w:rsidRPr="0047363D">
        <w:rPr>
          <w:bCs/>
        </w:rPr>
        <w:t>Südtirol,</w:t>
      </w:r>
      <w:r w:rsidR="0047363D" w:rsidRPr="0047363D">
        <w:t xml:space="preserve"> </w:t>
      </w:r>
      <w:r w:rsidR="0047363D" w:rsidRPr="0047363D">
        <w:rPr>
          <w:bCs/>
        </w:rPr>
        <w:t>Liechtenstein,</w:t>
      </w:r>
      <w:r w:rsidR="00122FEF">
        <w:rPr>
          <w:bCs/>
        </w:rPr>
        <w:t xml:space="preserve"> </w:t>
      </w:r>
      <w:r w:rsidR="0047363D" w:rsidRPr="0047363D">
        <w:rPr>
          <w:rStyle w:val="Fett"/>
          <w:b w:val="0"/>
        </w:rPr>
        <w:t>Luxemburg)</w:t>
      </w:r>
      <w:r w:rsidR="0047363D">
        <w:rPr>
          <w:rStyle w:val="Fett"/>
          <w:b w:val="0"/>
        </w:rPr>
        <w:t xml:space="preserve"> oder </w:t>
      </w:r>
      <w:r w:rsidRPr="0047363D">
        <w:t>(AHS, BHS, Berufsreifeprüfung</w:t>
      </w:r>
      <w:r w:rsidR="002E343E" w:rsidRPr="0047363D">
        <w:t>,</w:t>
      </w:r>
      <w:r w:rsidRPr="0047363D">
        <w:t xml:space="preserve"> </w:t>
      </w:r>
      <w:r w:rsidR="002E343E" w:rsidRPr="0047363D">
        <w:t>Europäisches</w:t>
      </w:r>
      <w:r w:rsidR="002E343E">
        <w:t xml:space="preserve"> Abiturzeugnis </w:t>
      </w:r>
      <w:r>
        <w:t>oder Externistenprüfung) vorhanden?</w:t>
      </w:r>
    </w:p>
    <w:p w14:paraId="2DA77F4C" w14:textId="1C6AB8A6" w:rsidR="00BF1DD4" w:rsidRDefault="00BF1DD4" w:rsidP="007D34CB">
      <w:pPr>
        <w:tabs>
          <w:tab w:val="left" w:pos="2127"/>
        </w:tabs>
        <w:spacing w:before="120" w:after="120"/>
        <w:ind w:left="851"/>
      </w:pPr>
      <w:r>
        <w:sym w:font="Wingdings" w:char="F0A8"/>
      </w:r>
      <w:r>
        <w:t xml:space="preserve"> </w:t>
      </w:r>
      <w:r w:rsidR="007D34CB">
        <w:t>Ja:</w:t>
      </w:r>
      <w:r w:rsidR="007D34CB">
        <w:tab/>
      </w:r>
      <w:r>
        <w:t>Österreich-Kontingent</w:t>
      </w:r>
    </w:p>
    <w:p w14:paraId="0DCB5D28" w14:textId="4DAE8D28" w:rsidR="00BF1DD4" w:rsidRDefault="00BF1DD4" w:rsidP="007D34CB">
      <w:pPr>
        <w:tabs>
          <w:tab w:val="left" w:pos="2127"/>
        </w:tabs>
        <w:spacing w:before="120" w:after="120"/>
        <w:ind w:left="851"/>
      </w:pPr>
      <w:r>
        <w:sym w:font="Wingdings" w:char="F0A8"/>
      </w:r>
      <w:r>
        <w:t xml:space="preserve"> Nein</w:t>
      </w:r>
      <w:r w:rsidR="007D34CB">
        <w:t>:</w:t>
      </w:r>
      <w:r w:rsidR="007D34CB">
        <w:tab/>
      </w:r>
      <w:r w:rsidR="00184EA3">
        <w:t>weiter zu Frage 1.2.</w:t>
      </w:r>
    </w:p>
    <w:p w14:paraId="116AFAFB" w14:textId="5B253B9A" w:rsidR="002679AC" w:rsidRDefault="00184EA3" w:rsidP="008062C2">
      <w:pPr>
        <w:pStyle w:val="berschrift2"/>
        <w:ind w:left="709" w:hanging="709"/>
      </w:pPr>
      <w:r>
        <w:t>Ist ein sons</w:t>
      </w:r>
      <w:r w:rsidR="002E343E">
        <w:t xml:space="preserve">tiges Reifezeugnis (IB Diploma,, </w:t>
      </w:r>
      <w:r>
        <w:t xml:space="preserve">ausländische Reifezeugnisse/Maturazeugnisse </w:t>
      </w:r>
      <w:r w:rsidR="007D34CB">
        <w:rPr>
          <w:rStyle w:val="Funotenzeichen"/>
        </w:rPr>
        <w:footnoteReference w:id="1"/>
      </w:r>
      <w:r>
        <w:t>) vorhanden?</w:t>
      </w:r>
    </w:p>
    <w:p w14:paraId="4D0F3396" w14:textId="26A94DD5" w:rsidR="00184EA3" w:rsidRDefault="00184EA3" w:rsidP="007D34CB">
      <w:pPr>
        <w:tabs>
          <w:tab w:val="left" w:pos="2127"/>
        </w:tabs>
        <w:spacing w:before="120" w:after="120"/>
        <w:ind w:left="851"/>
      </w:pPr>
      <w:r>
        <w:sym w:font="Wingdings" w:char="F0A8"/>
      </w:r>
      <w:r>
        <w:t xml:space="preserve"> </w:t>
      </w:r>
      <w:r w:rsidR="007D34CB">
        <w:t>Ja:</w:t>
      </w:r>
      <w:r w:rsidR="007D34CB">
        <w:tab/>
      </w:r>
      <w:r>
        <w:t>weiter zu Frage 1.3.</w:t>
      </w:r>
    </w:p>
    <w:p w14:paraId="5B3ADCAE" w14:textId="634BA0CF" w:rsidR="00184EA3" w:rsidRDefault="00184EA3" w:rsidP="007D34CB">
      <w:pPr>
        <w:tabs>
          <w:tab w:val="left" w:pos="2127"/>
        </w:tabs>
        <w:spacing w:before="120" w:after="120"/>
        <w:ind w:left="851"/>
      </w:pPr>
      <w:r>
        <w:sym w:font="Wingdings" w:char="F0A8"/>
      </w:r>
      <w:r>
        <w:t xml:space="preserve"> Nein</w:t>
      </w:r>
      <w:r w:rsidR="007D34CB">
        <w:t>:</w:t>
      </w:r>
      <w:r w:rsidR="007D34CB">
        <w:tab/>
      </w:r>
      <w:r>
        <w:t>weiter zu Prüfschritt 2</w:t>
      </w:r>
      <w:r w:rsidR="000B0FF0">
        <w:t>.</w:t>
      </w:r>
    </w:p>
    <w:p w14:paraId="762C9240" w14:textId="77777777" w:rsidR="008B5017" w:rsidRDefault="008B5017" w:rsidP="007D34CB">
      <w:pPr>
        <w:tabs>
          <w:tab w:val="left" w:pos="2127"/>
        </w:tabs>
        <w:spacing w:before="120" w:after="120"/>
        <w:ind w:left="851"/>
      </w:pPr>
    </w:p>
    <w:p w14:paraId="7C30DB38" w14:textId="2AE96912" w:rsidR="00184EA3" w:rsidRPr="008B5017" w:rsidRDefault="00184EA3" w:rsidP="008062C2">
      <w:pPr>
        <w:pStyle w:val="berschrift2"/>
        <w:ind w:left="709" w:hanging="709"/>
      </w:pPr>
      <w:r w:rsidRPr="008B5017">
        <w:t>Ist ein</w:t>
      </w:r>
      <w:r w:rsidR="002679AC" w:rsidRPr="008B5017">
        <w:t>er der Punkte nach d</w:t>
      </w:r>
      <w:r w:rsidR="002679AC" w:rsidRPr="004918F5">
        <w:rPr>
          <w:i/>
          <w:iCs/>
        </w:rPr>
        <w:t xml:space="preserve">er </w:t>
      </w:r>
      <w:hyperlink r:id="rId14" w:history="1">
        <w:r w:rsidR="004918F5" w:rsidRPr="004918F5">
          <w:rPr>
            <w:rStyle w:val="Hyperlink"/>
          </w:rPr>
          <w:t>Personengruppenverordnung</w:t>
        </w:r>
      </w:hyperlink>
      <w:r w:rsidR="004918F5">
        <w:t xml:space="preserve"> </w:t>
      </w:r>
      <w:r w:rsidR="002679AC" w:rsidRPr="008B5017">
        <w:t>erfüllt?</w:t>
      </w:r>
    </w:p>
    <w:p w14:paraId="553DAFDC" w14:textId="06DE5452" w:rsidR="00A80C1F" w:rsidRDefault="002679AC" w:rsidP="00F876D2">
      <w:pPr>
        <w:tabs>
          <w:tab w:val="left" w:pos="2127"/>
        </w:tabs>
        <w:spacing w:before="120" w:after="120"/>
        <w:ind w:left="851"/>
      </w:pPr>
      <w:r>
        <w:sym w:font="Wingdings" w:char="F0A8"/>
      </w:r>
      <w:r>
        <w:t xml:space="preserve"> </w:t>
      </w:r>
      <w:r w:rsidR="007D34CB">
        <w:t>Ja:</w:t>
      </w:r>
      <w:r w:rsidR="007D34CB">
        <w:tab/>
      </w:r>
      <w:r>
        <w:t>Österreich-Kontingent</w:t>
      </w:r>
    </w:p>
    <w:p w14:paraId="4E1296AE" w14:textId="6765125E" w:rsidR="002679AC" w:rsidRDefault="002679AC" w:rsidP="007D34CB">
      <w:pPr>
        <w:tabs>
          <w:tab w:val="left" w:pos="2127"/>
        </w:tabs>
        <w:spacing w:before="120" w:after="120"/>
        <w:ind w:left="851"/>
      </w:pPr>
      <w:r>
        <w:sym w:font="Wingdings" w:char="F0A8"/>
      </w:r>
      <w:r>
        <w:t xml:space="preserve"> Nein:</w:t>
      </w:r>
      <w:r w:rsidR="007D34CB">
        <w:tab/>
      </w:r>
      <w:r>
        <w:t>weiter zu Prüfschritt 2</w:t>
      </w:r>
      <w:r w:rsidR="000B0FF0">
        <w:t>.</w:t>
      </w:r>
    </w:p>
    <w:p w14:paraId="2EF8C06C" w14:textId="1A558636" w:rsidR="00184EA3" w:rsidRPr="00F876D2" w:rsidRDefault="00184EA3" w:rsidP="00F876D2"/>
    <w:p w14:paraId="67E9AFCD" w14:textId="31A2ED51" w:rsidR="007D34CB" w:rsidRDefault="007D34CB" w:rsidP="007D34CB">
      <w:pPr>
        <w:pStyle w:val="berschrift1"/>
        <w:spacing w:before="120" w:after="120"/>
      </w:pPr>
      <w:bookmarkStart w:id="2" w:name="_Ref161919088"/>
      <w:r>
        <w:lastRenderedPageBreak/>
        <w:t>EU-Kontingent</w:t>
      </w:r>
      <w:bookmarkEnd w:id="2"/>
    </w:p>
    <w:p w14:paraId="29A95012" w14:textId="1A66F054" w:rsidR="002679AC" w:rsidRPr="002679AC" w:rsidRDefault="002679AC" w:rsidP="007D34CB">
      <w:pPr>
        <w:spacing w:before="120" w:after="120"/>
      </w:pPr>
      <w:r>
        <w:t xml:space="preserve">Das sogenannte „EU-Kontingent“ steht allen </w:t>
      </w:r>
      <w:r w:rsidRPr="002679AC">
        <w:rPr>
          <w:b/>
        </w:rPr>
        <w:t>EU-Bürgerinnen und EU-Bürgern</w:t>
      </w:r>
      <w:r>
        <w:t xml:space="preserve"> und </w:t>
      </w:r>
      <w:r w:rsidRPr="002679AC">
        <w:rPr>
          <w:b/>
        </w:rPr>
        <w:t>ihnen im Hinblick auf den Studienzugang gleichgestellten Personen</w:t>
      </w:r>
      <w:r w:rsidRPr="002679AC">
        <w:t xml:space="preserve"> (</w:t>
      </w:r>
      <w:r>
        <w:t xml:space="preserve">EWR-Staatsangehörige, Staatsangehörige der Schweiz, Drittstaatsangehörige mit „Daueraufenthalt EU“, </w:t>
      </w:r>
      <w:r w:rsidR="004622FC">
        <w:t>türkische</w:t>
      </w:r>
      <w:r>
        <w:t xml:space="preserve"> Staatsangehörige auf die das Assoziationsabkommen EWG-Türkei anwendbar ist).</w:t>
      </w:r>
    </w:p>
    <w:p w14:paraId="5F7181B4" w14:textId="77777777" w:rsidR="002679AC" w:rsidRPr="005121C9" w:rsidRDefault="002679AC" w:rsidP="007D34CB">
      <w:pPr>
        <w:spacing w:before="120" w:after="120"/>
        <w:rPr>
          <w:b/>
        </w:rPr>
      </w:pPr>
      <w:r w:rsidRPr="005121C9">
        <w:rPr>
          <w:b/>
        </w:rPr>
        <w:t>Fragen:</w:t>
      </w:r>
    </w:p>
    <w:p w14:paraId="2089B4F4" w14:textId="5B507620" w:rsidR="002679AC" w:rsidRDefault="002679AC" w:rsidP="008062C2">
      <w:pPr>
        <w:pStyle w:val="berschrift2"/>
        <w:ind w:left="709" w:hanging="709"/>
      </w:pPr>
      <w:r>
        <w:t xml:space="preserve">Gehören Sie einer der oben unter Punkt </w:t>
      </w:r>
      <w:r w:rsidR="00E646D5">
        <w:t>2</w:t>
      </w:r>
      <w:r>
        <w:t xml:space="preserve"> genannten Personengruppen an?</w:t>
      </w:r>
    </w:p>
    <w:p w14:paraId="5DEFB0F5" w14:textId="6970BFD9" w:rsidR="002679AC" w:rsidRDefault="002679AC" w:rsidP="007D34CB">
      <w:pPr>
        <w:tabs>
          <w:tab w:val="left" w:pos="2127"/>
        </w:tabs>
        <w:spacing w:before="120" w:after="120"/>
        <w:ind w:left="851"/>
      </w:pPr>
      <w:r>
        <w:sym w:font="Wingdings" w:char="F0A8"/>
      </w:r>
      <w:r>
        <w:t xml:space="preserve"> </w:t>
      </w:r>
      <w:r w:rsidR="00534212">
        <w:t>Ja:</w:t>
      </w:r>
      <w:r w:rsidR="00534212">
        <w:tab/>
      </w:r>
      <w:r>
        <w:t>weiter zu Frage 2.2.</w:t>
      </w:r>
    </w:p>
    <w:p w14:paraId="4F64894F" w14:textId="12294A35" w:rsidR="002679AC" w:rsidRDefault="002679AC" w:rsidP="00EF796E">
      <w:pPr>
        <w:tabs>
          <w:tab w:val="left" w:pos="2127"/>
        </w:tabs>
        <w:spacing w:before="120" w:after="120"/>
        <w:ind w:left="851"/>
      </w:pPr>
      <w:r>
        <w:sym w:font="Wingdings" w:char="F0A8"/>
      </w:r>
      <w:r>
        <w:t xml:space="preserve"> Nein</w:t>
      </w:r>
      <w:r w:rsidR="00534212">
        <w:t>:</w:t>
      </w:r>
      <w:r w:rsidR="00534212">
        <w:tab/>
      </w:r>
      <w:r>
        <w:t>weiter zu Prüfschritt 3</w:t>
      </w:r>
      <w:r w:rsidR="0048374C">
        <w:t>.</w:t>
      </w:r>
    </w:p>
    <w:p w14:paraId="6519EC1C" w14:textId="34649FED" w:rsidR="002679AC" w:rsidRDefault="00A703A0" w:rsidP="008062C2">
      <w:pPr>
        <w:pStyle w:val="berschrift2"/>
        <w:ind w:left="709" w:hanging="709"/>
      </w:pPr>
      <w:r>
        <w:t xml:space="preserve">Besitzen Sie eine Allgemeine Universitätsreife im Sinne von </w:t>
      </w:r>
      <w:hyperlink r:id="rId15" w:history="1">
        <w:r w:rsidRPr="00922E45">
          <w:rPr>
            <w:rStyle w:val="Hyperlink"/>
          </w:rPr>
          <w:t>§</w:t>
        </w:r>
        <w:r w:rsidR="00922E45" w:rsidRPr="00922E45">
          <w:rPr>
            <w:rStyle w:val="Hyperlink"/>
          </w:rPr>
          <w:t> 64 Abs 1 oder 2</w:t>
        </w:r>
        <w:r w:rsidRPr="00922E45">
          <w:rPr>
            <w:rStyle w:val="Hyperlink"/>
          </w:rPr>
          <w:t xml:space="preserve"> UG 2002</w:t>
        </w:r>
      </w:hyperlink>
      <w:r w:rsidR="002679AC">
        <w:t>?</w:t>
      </w:r>
    </w:p>
    <w:p w14:paraId="0BF96568" w14:textId="245394A4" w:rsidR="00A703A0" w:rsidRDefault="00A703A0" w:rsidP="00EF796E">
      <w:pPr>
        <w:tabs>
          <w:tab w:val="left" w:pos="2127"/>
        </w:tabs>
        <w:spacing w:before="120" w:after="120"/>
        <w:ind w:left="851"/>
      </w:pPr>
      <w:r>
        <w:sym w:font="Wingdings" w:char="F0A8"/>
      </w:r>
      <w:r>
        <w:t xml:space="preserve"> Ja:</w:t>
      </w:r>
      <w:r w:rsidR="00534212">
        <w:tab/>
      </w:r>
      <w:r>
        <w:t>EU-Kontingent</w:t>
      </w:r>
    </w:p>
    <w:p w14:paraId="79B3EECA" w14:textId="525EF28F" w:rsidR="00A703A0" w:rsidRDefault="00A703A0" w:rsidP="008637EE">
      <w:pPr>
        <w:tabs>
          <w:tab w:val="left" w:pos="2127"/>
        </w:tabs>
        <w:spacing w:before="120" w:after="120"/>
        <w:ind w:left="2127" w:hanging="1276"/>
      </w:pPr>
      <w:r>
        <w:sym w:font="Wingdings" w:char="F0A8"/>
      </w:r>
      <w:r>
        <w:t xml:space="preserve"> Nein</w:t>
      </w:r>
      <w:r w:rsidR="00534212">
        <w:t>:</w:t>
      </w:r>
      <w:r w:rsidR="00534212">
        <w:tab/>
      </w:r>
      <w:r>
        <w:t>Zulassung nicht möglich, da die Allgemeine Universitätsreife für eine Zulassung zwingend erforderlich ist.</w:t>
      </w:r>
    </w:p>
    <w:p w14:paraId="211FBD20" w14:textId="4FB0075A" w:rsidR="007D34CB" w:rsidRDefault="007D34CB" w:rsidP="00EF796E">
      <w:pPr>
        <w:pStyle w:val="berschrift1"/>
      </w:pPr>
      <w:bookmarkStart w:id="3" w:name="_Ref161919095"/>
      <w:r>
        <w:lastRenderedPageBreak/>
        <w:t>5%/Nicht-EU-Kontingent</w:t>
      </w:r>
      <w:bookmarkEnd w:id="3"/>
    </w:p>
    <w:p w14:paraId="7759DF03" w14:textId="3BF77363" w:rsidR="00A703A0" w:rsidRDefault="00A703A0" w:rsidP="007D34CB">
      <w:pPr>
        <w:spacing w:before="120" w:after="120"/>
      </w:pPr>
      <w:r>
        <w:t xml:space="preserve">Das sogenannte „5%/Nicht-EU-Kontingent“ steht sämtlichen Studienwerbenden, die nicht unter Prüfschritt 1 oder 2 fallen (sog. </w:t>
      </w:r>
      <w:r w:rsidRPr="00ED6F63">
        <w:rPr>
          <w:b/>
        </w:rPr>
        <w:t>„Drittstaatsangehörige“</w:t>
      </w:r>
      <w:r>
        <w:t>) zu.</w:t>
      </w:r>
    </w:p>
    <w:p w14:paraId="4DCD6F9F" w14:textId="77777777" w:rsidR="00A703A0" w:rsidRPr="00ED6F63" w:rsidRDefault="00A703A0" w:rsidP="007D34CB">
      <w:pPr>
        <w:spacing w:before="120" w:after="120"/>
        <w:rPr>
          <w:b/>
        </w:rPr>
      </w:pPr>
      <w:r w:rsidRPr="00ED6F63">
        <w:rPr>
          <w:b/>
        </w:rPr>
        <w:t>Fragen:</w:t>
      </w:r>
    </w:p>
    <w:p w14:paraId="5D401894" w14:textId="77777777" w:rsidR="00A703A0" w:rsidRDefault="00A703A0" w:rsidP="008062C2">
      <w:pPr>
        <w:pStyle w:val="berschrift2"/>
        <w:ind w:left="709" w:hanging="709"/>
      </w:pPr>
      <w:r>
        <w:t>Gehören Sie einer der oben unter Punkt 3 genannten Personengruppen an?</w:t>
      </w:r>
    </w:p>
    <w:p w14:paraId="7EFBBC3B" w14:textId="06E0B29A" w:rsidR="00A703A0" w:rsidRDefault="00A703A0" w:rsidP="00EF796E">
      <w:pPr>
        <w:tabs>
          <w:tab w:val="left" w:pos="2127"/>
        </w:tabs>
        <w:spacing w:before="120" w:after="120"/>
        <w:ind w:left="851"/>
      </w:pPr>
      <w:r>
        <w:sym w:font="Wingdings" w:char="F0A8"/>
      </w:r>
      <w:r>
        <w:t xml:space="preserve"> </w:t>
      </w:r>
      <w:r w:rsidR="00534212">
        <w:t>Ja:</w:t>
      </w:r>
      <w:r w:rsidR="00534212">
        <w:tab/>
      </w:r>
      <w:r>
        <w:t>weiter zu Frage 3.2.</w:t>
      </w:r>
    </w:p>
    <w:p w14:paraId="22D3A787" w14:textId="73081CC1" w:rsidR="00A703A0" w:rsidRDefault="00A703A0" w:rsidP="008062C2">
      <w:pPr>
        <w:pStyle w:val="berschrift2"/>
        <w:ind w:left="709" w:hanging="709"/>
      </w:pPr>
      <w:r>
        <w:t xml:space="preserve">Besitzen Sie eine Allgemeine Universitätsreife im Sinne </w:t>
      </w:r>
      <w:r w:rsidR="00922E45">
        <w:t xml:space="preserve">von </w:t>
      </w:r>
      <w:hyperlink r:id="rId16" w:history="1">
        <w:r w:rsidR="00922E45" w:rsidRPr="00922E45">
          <w:rPr>
            <w:rStyle w:val="Hyperlink"/>
          </w:rPr>
          <w:t>§ 64 Abs 1 oder 2 UG 2002</w:t>
        </w:r>
      </w:hyperlink>
      <w:r w:rsidR="00922E45">
        <w:t>?</w:t>
      </w:r>
    </w:p>
    <w:p w14:paraId="2BDC977D" w14:textId="1FF13627" w:rsidR="00A703A0" w:rsidRDefault="00A703A0" w:rsidP="00EF796E">
      <w:pPr>
        <w:tabs>
          <w:tab w:val="left" w:pos="2127"/>
        </w:tabs>
        <w:spacing w:before="120" w:after="120"/>
        <w:ind w:left="851"/>
      </w:pPr>
      <w:r>
        <w:sym w:font="Wingdings" w:char="F0A8"/>
      </w:r>
      <w:r>
        <w:t xml:space="preserve"> </w:t>
      </w:r>
      <w:r w:rsidR="00534212">
        <w:t>Ja:</w:t>
      </w:r>
      <w:r w:rsidR="00534212">
        <w:tab/>
      </w:r>
      <w:r>
        <w:t>5%/Nicht-EU-Kontingent</w:t>
      </w:r>
    </w:p>
    <w:p w14:paraId="48AC6828" w14:textId="604120EA" w:rsidR="00A703A0" w:rsidRDefault="00A703A0" w:rsidP="002052C7">
      <w:pPr>
        <w:tabs>
          <w:tab w:val="left" w:pos="2127"/>
        </w:tabs>
        <w:spacing w:before="120" w:after="120"/>
        <w:ind w:left="2127" w:hanging="1276"/>
      </w:pPr>
      <w:r>
        <w:sym w:font="Wingdings" w:char="F0A8"/>
      </w:r>
      <w:r>
        <w:t xml:space="preserve"> Nein</w:t>
      </w:r>
      <w:r w:rsidR="00534212">
        <w:t>:</w:t>
      </w:r>
      <w:r w:rsidR="00534212">
        <w:tab/>
      </w:r>
      <w:r>
        <w:t>Zulassung nicht möglich, da die Allgemeine Universitätsreife für eine Zulassung zwingend erforderlich ist.</w:t>
      </w:r>
    </w:p>
    <w:sectPr w:rsidR="00A703A0" w:rsidSect="00EF796E">
      <w:headerReference w:type="first" r:id="rId17"/>
      <w:type w:val="continuous"/>
      <w:pgSz w:w="11906" w:h="16838" w:code="9"/>
      <w:pgMar w:top="1418" w:right="1418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52EB8" w14:textId="77777777" w:rsidR="00351D43" w:rsidRDefault="00351D43" w:rsidP="00351D43">
      <w:pPr>
        <w:spacing w:after="0" w:line="240" w:lineRule="auto"/>
      </w:pPr>
      <w:r>
        <w:separator/>
      </w:r>
    </w:p>
  </w:endnote>
  <w:endnote w:type="continuationSeparator" w:id="0">
    <w:p w14:paraId="2EDACE0B" w14:textId="77777777" w:rsidR="00351D43" w:rsidRDefault="00351D43" w:rsidP="0035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45357" w14:textId="77777777" w:rsidR="00351D43" w:rsidRDefault="00351D43" w:rsidP="00351D43">
      <w:pPr>
        <w:spacing w:after="0" w:line="240" w:lineRule="auto"/>
      </w:pPr>
      <w:r>
        <w:separator/>
      </w:r>
    </w:p>
  </w:footnote>
  <w:footnote w:type="continuationSeparator" w:id="0">
    <w:p w14:paraId="1055BCD2" w14:textId="77777777" w:rsidR="00351D43" w:rsidRDefault="00351D43" w:rsidP="00351D43">
      <w:pPr>
        <w:spacing w:after="0" w:line="240" w:lineRule="auto"/>
      </w:pPr>
      <w:r>
        <w:continuationSeparator/>
      </w:r>
    </w:p>
  </w:footnote>
  <w:footnote w:id="1">
    <w:p w14:paraId="37476403" w14:textId="06F0E9F2" w:rsidR="007D34CB" w:rsidRDefault="007D34CB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0B0FF0">
          <w:rPr>
            <w:rStyle w:val="Hyperlink"/>
          </w:rPr>
          <w:t>§</w:t>
        </w:r>
        <w:r w:rsidR="000B0FF0" w:rsidRPr="000B0FF0">
          <w:rPr>
            <w:rStyle w:val="Hyperlink"/>
          </w:rPr>
          <w:t> 64 Abs 2</w:t>
        </w:r>
        <w:r w:rsidRPr="000B0FF0">
          <w:rPr>
            <w:rStyle w:val="Hyperlink"/>
          </w:rPr>
          <w:t xml:space="preserve"> UG 2002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647A0" w14:textId="60074DC7" w:rsidR="007D34CB" w:rsidRDefault="007D34CB" w:rsidP="007D34C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6CAB487" wp14:editId="197C6627">
          <wp:simplePos x="0" y="0"/>
          <wp:positionH relativeFrom="page">
            <wp:posOffset>5331549</wp:posOffset>
          </wp:positionH>
          <wp:positionV relativeFrom="page">
            <wp:posOffset>448945</wp:posOffset>
          </wp:positionV>
          <wp:extent cx="1296035" cy="1351280"/>
          <wp:effectExtent l="19050" t="0" r="0" b="0"/>
          <wp:wrapNone/>
          <wp:docPr id="6" name="Bild 10" descr="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m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1351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126730F" w14:textId="77777777" w:rsidR="007D34CB" w:rsidRDefault="007D34CB" w:rsidP="007D34CB">
    <w:pPr>
      <w:pStyle w:val="Kopfzeile"/>
    </w:pPr>
  </w:p>
  <w:p w14:paraId="3B18C730" w14:textId="77777777" w:rsidR="007D34CB" w:rsidRDefault="007D34CB" w:rsidP="007D34CB">
    <w:pPr>
      <w:pStyle w:val="Kopfzeile"/>
    </w:pPr>
  </w:p>
  <w:p w14:paraId="409E53E1" w14:textId="77777777" w:rsidR="007D34CB" w:rsidRDefault="007D34CB" w:rsidP="007D34CB">
    <w:pPr>
      <w:pStyle w:val="Kopfzeile"/>
    </w:pPr>
  </w:p>
  <w:p w14:paraId="1504C312" w14:textId="77777777" w:rsidR="007D34CB" w:rsidRDefault="007D34CB" w:rsidP="007D34CB">
    <w:pPr>
      <w:pStyle w:val="Kopfzeile"/>
    </w:pPr>
  </w:p>
  <w:p w14:paraId="72BC4554" w14:textId="77777777" w:rsidR="007D34CB" w:rsidRDefault="007D34CB" w:rsidP="007D34CB">
    <w:pPr>
      <w:pStyle w:val="Kopfzeile"/>
    </w:pPr>
  </w:p>
  <w:p w14:paraId="3BBCA5C5" w14:textId="77777777" w:rsidR="007D34CB" w:rsidRDefault="007D34CB" w:rsidP="007D34CB">
    <w:pPr>
      <w:spacing w:after="82"/>
      <w:rPr>
        <w:b/>
        <w:sz w:val="28"/>
      </w:rPr>
    </w:pPr>
    <w:r>
      <w:rPr>
        <w:b/>
        <w:sz w:val="28"/>
      </w:rPr>
      <w:t>Checkliste: Kontingenteinteilung</w:t>
    </w:r>
  </w:p>
  <w:p w14:paraId="4F3052F4" w14:textId="77777777" w:rsidR="007D34CB" w:rsidRDefault="007D34CB" w:rsidP="007D34CB">
    <w:pPr>
      <w:spacing w:after="82" w:line="259" w:lineRule="auto"/>
    </w:pPr>
    <w:r>
      <w:rPr>
        <w:b/>
        <w:sz w:val="28"/>
      </w:rPr>
      <w:t>Aufnahmeverfahren Humanmedizin</w:t>
    </w:r>
  </w:p>
  <w:p w14:paraId="4F4DA6A7" w14:textId="0C47342C" w:rsidR="007D34CB" w:rsidRDefault="007D34CB">
    <w:pPr>
      <w:pStyle w:val="Kopfzeile"/>
    </w:pPr>
  </w:p>
  <w:p w14:paraId="670492B2" w14:textId="77777777" w:rsidR="007D34CB" w:rsidRDefault="007D34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2C3F"/>
    <w:multiLevelType w:val="hybridMultilevel"/>
    <w:tmpl w:val="5DA04CC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F46B4"/>
    <w:multiLevelType w:val="multilevel"/>
    <w:tmpl w:val="683E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A1942"/>
    <w:multiLevelType w:val="hybridMultilevel"/>
    <w:tmpl w:val="73B43D8E"/>
    <w:lvl w:ilvl="0" w:tplc="0407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B3E4A74"/>
    <w:multiLevelType w:val="hybridMultilevel"/>
    <w:tmpl w:val="F18890DC"/>
    <w:lvl w:ilvl="0" w:tplc="0407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 w15:restartNumberingAfterBreak="0">
    <w:nsid w:val="1F105F1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8C28E4"/>
    <w:multiLevelType w:val="hybridMultilevel"/>
    <w:tmpl w:val="B462ABD6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E034EF"/>
    <w:multiLevelType w:val="hybridMultilevel"/>
    <w:tmpl w:val="CF080D16"/>
    <w:lvl w:ilvl="0" w:tplc="609E22AA">
      <w:start w:val="1"/>
      <w:numFmt w:val="bullet"/>
      <w:lvlText w:val="▪"/>
      <w:lvlJc w:val="left"/>
      <w:pPr>
        <w:ind w:left="928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7" w15:restartNumberingAfterBreak="0">
    <w:nsid w:val="29A9673C"/>
    <w:multiLevelType w:val="hybridMultilevel"/>
    <w:tmpl w:val="63D0A72A"/>
    <w:lvl w:ilvl="0" w:tplc="8384DF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C200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9E22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8A1B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9CE0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2472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54DC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F64A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E472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E43A8A"/>
    <w:multiLevelType w:val="multilevel"/>
    <w:tmpl w:val="19A2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136A9"/>
    <w:multiLevelType w:val="hybridMultilevel"/>
    <w:tmpl w:val="696015E4"/>
    <w:lvl w:ilvl="0" w:tplc="FAB45B6A">
      <w:start w:val="1"/>
      <w:numFmt w:val="bullet"/>
      <w:lvlText w:val="4"/>
      <w:lvlJc w:val="left"/>
      <w:pPr>
        <w:ind w:left="1571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01D7F45"/>
    <w:multiLevelType w:val="multilevel"/>
    <w:tmpl w:val="632E404A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67561F8"/>
    <w:multiLevelType w:val="hybridMultilevel"/>
    <w:tmpl w:val="6B96BA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227B1"/>
    <w:multiLevelType w:val="hybridMultilevel"/>
    <w:tmpl w:val="CE90F07C"/>
    <w:lvl w:ilvl="0" w:tplc="4BB01DE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9A0CA0">
      <w:start w:val="1"/>
      <w:numFmt w:val="bullet"/>
      <w:lvlText w:val="o"/>
      <w:lvlJc w:val="left"/>
      <w:pPr>
        <w:ind w:left="1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00E308">
      <w:start w:val="1"/>
      <w:numFmt w:val="bullet"/>
      <w:lvlText w:val="▪"/>
      <w:lvlJc w:val="left"/>
      <w:pPr>
        <w:ind w:left="1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661232">
      <w:start w:val="1"/>
      <w:numFmt w:val="bullet"/>
      <w:lvlText w:val="•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6EC5DE">
      <w:start w:val="1"/>
      <w:numFmt w:val="bullet"/>
      <w:lvlText w:val="o"/>
      <w:lvlJc w:val="left"/>
      <w:pPr>
        <w:ind w:left="3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2E5E9A">
      <w:start w:val="1"/>
      <w:numFmt w:val="bullet"/>
      <w:lvlText w:val="▪"/>
      <w:lvlJc w:val="left"/>
      <w:pPr>
        <w:ind w:left="4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05DDC">
      <w:start w:val="1"/>
      <w:numFmt w:val="bullet"/>
      <w:lvlText w:val="•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38FC0E">
      <w:start w:val="1"/>
      <w:numFmt w:val="bullet"/>
      <w:lvlText w:val="o"/>
      <w:lvlJc w:val="left"/>
      <w:pPr>
        <w:ind w:left="5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9EC902">
      <w:start w:val="1"/>
      <w:numFmt w:val="bullet"/>
      <w:lvlText w:val="▪"/>
      <w:lvlJc w:val="left"/>
      <w:pPr>
        <w:ind w:left="6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4A3D65"/>
    <w:multiLevelType w:val="multilevel"/>
    <w:tmpl w:val="0A9C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577EB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12"/>
  </w:num>
  <w:num w:numId="5">
    <w:abstractNumId w:val="11"/>
  </w:num>
  <w:num w:numId="6">
    <w:abstractNumId w:val="0"/>
  </w:num>
  <w:num w:numId="7">
    <w:abstractNumId w:val="1"/>
  </w:num>
  <w:num w:numId="8">
    <w:abstractNumId w:val="13"/>
  </w:num>
  <w:num w:numId="9">
    <w:abstractNumId w:val="8"/>
  </w:num>
  <w:num w:numId="10">
    <w:abstractNumId w:val="4"/>
  </w:num>
  <w:num w:numId="11">
    <w:abstractNumId w:val="9"/>
  </w:num>
  <w:num w:numId="12">
    <w:abstractNumId w:val="2"/>
  </w:num>
  <w:num w:numId="13">
    <w:abstractNumId w:val="6"/>
  </w:num>
  <w:num w:numId="14">
    <w:abstractNumId w:val="3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43"/>
    <w:rsid w:val="000B0FF0"/>
    <w:rsid w:val="000D3238"/>
    <w:rsid w:val="000D3805"/>
    <w:rsid w:val="00122FEF"/>
    <w:rsid w:val="00160099"/>
    <w:rsid w:val="00182452"/>
    <w:rsid w:val="00184EA3"/>
    <w:rsid w:val="001B26E9"/>
    <w:rsid w:val="002052C7"/>
    <w:rsid w:val="002679AC"/>
    <w:rsid w:val="002A5295"/>
    <w:rsid w:val="002A7FD5"/>
    <w:rsid w:val="002E343E"/>
    <w:rsid w:val="0035159E"/>
    <w:rsid w:val="00351D43"/>
    <w:rsid w:val="00436406"/>
    <w:rsid w:val="004622FC"/>
    <w:rsid w:val="0047363D"/>
    <w:rsid w:val="0048374C"/>
    <w:rsid w:val="004918F5"/>
    <w:rsid w:val="004A590C"/>
    <w:rsid w:val="004C1CBF"/>
    <w:rsid w:val="004C483A"/>
    <w:rsid w:val="004D12B5"/>
    <w:rsid w:val="00502D71"/>
    <w:rsid w:val="005121C9"/>
    <w:rsid w:val="00534212"/>
    <w:rsid w:val="005B2D85"/>
    <w:rsid w:val="005B2E40"/>
    <w:rsid w:val="006302FA"/>
    <w:rsid w:val="00650BF6"/>
    <w:rsid w:val="00694A41"/>
    <w:rsid w:val="006A0862"/>
    <w:rsid w:val="006C2D5B"/>
    <w:rsid w:val="00785057"/>
    <w:rsid w:val="007D34CB"/>
    <w:rsid w:val="008062C2"/>
    <w:rsid w:val="00857EB7"/>
    <w:rsid w:val="008637EE"/>
    <w:rsid w:val="00897C7A"/>
    <w:rsid w:val="008B5017"/>
    <w:rsid w:val="008E03DC"/>
    <w:rsid w:val="00922E45"/>
    <w:rsid w:val="009710E0"/>
    <w:rsid w:val="0099495A"/>
    <w:rsid w:val="00A06E63"/>
    <w:rsid w:val="00A703A0"/>
    <w:rsid w:val="00A80C1F"/>
    <w:rsid w:val="00A81B98"/>
    <w:rsid w:val="00A90013"/>
    <w:rsid w:val="00B253F1"/>
    <w:rsid w:val="00BD2AB6"/>
    <w:rsid w:val="00BE19B1"/>
    <w:rsid w:val="00BF1DD4"/>
    <w:rsid w:val="00C106DE"/>
    <w:rsid w:val="00CE0951"/>
    <w:rsid w:val="00CE3E8A"/>
    <w:rsid w:val="00DC5EDD"/>
    <w:rsid w:val="00DF095D"/>
    <w:rsid w:val="00E646D5"/>
    <w:rsid w:val="00E82888"/>
    <w:rsid w:val="00ED6F63"/>
    <w:rsid w:val="00EE0406"/>
    <w:rsid w:val="00EF796E"/>
    <w:rsid w:val="00EF7E77"/>
    <w:rsid w:val="00F876D2"/>
    <w:rsid w:val="00F9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69E3CC"/>
  <w15:chartTrackingRefBased/>
  <w15:docId w15:val="{22E07E21-DC06-4686-8DF7-2EB07176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7C7A"/>
    <w:pPr>
      <w:spacing w:after="240" w:line="288" w:lineRule="auto"/>
      <w:jc w:val="both"/>
    </w:pPr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22E45"/>
    <w:pPr>
      <w:keepNext/>
      <w:keepLines/>
      <w:pageBreakBefore/>
      <w:numPr>
        <w:numId w:val="15"/>
      </w:numPr>
      <w:spacing w:before="240" w:after="0"/>
      <w:ind w:left="357" w:hanging="357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06DE"/>
    <w:pPr>
      <w:keepNext/>
      <w:keepLines/>
      <w:numPr>
        <w:ilvl w:val="1"/>
        <w:numId w:val="15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5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1D43"/>
  </w:style>
  <w:style w:type="paragraph" w:styleId="Fuzeile">
    <w:name w:val="footer"/>
    <w:basedOn w:val="Standard"/>
    <w:link w:val="FuzeileZchn"/>
    <w:uiPriority w:val="99"/>
    <w:unhideWhenUsed/>
    <w:rsid w:val="0035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1D43"/>
  </w:style>
  <w:style w:type="character" w:styleId="Kommentarzeichen">
    <w:name w:val="annotation reference"/>
    <w:basedOn w:val="Absatz-Standardschriftart"/>
    <w:uiPriority w:val="99"/>
    <w:semiHidden/>
    <w:unhideWhenUsed/>
    <w:rsid w:val="00351D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1D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51D43"/>
    <w:rPr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1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1D43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351D43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351D4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F1DD4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4E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4EA3"/>
    <w:rPr>
      <w:b/>
      <w:bCs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34C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D34CB"/>
    <w:rPr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D34CB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2E45"/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A80C1F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06DE"/>
    <w:rPr>
      <w:rFonts w:eastAsiaTheme="majorEastAsia" w:cstheme="majorBidi"/>
      <w:sz w:val="22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650BF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fnahmeverfahren.medizinstudieren.at/medat-candidate/login" TargetMode="External"/><Relationship Id="rId13" Type="http://schemas.openxmlformats.org/officeDocument/2006/relationships/hyperlink" Target="https://www.ris.bka.gv.at/GeltendeFassung.wxe?Abfrage=Bundesnormen&amp;Gesetzesnummer=2001059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ufnahmeverfahren@i-med.ac.a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ris.bka.gv.at/NormDokument.wxe?Abfrage=Bundesnormen&amp;Gesetzesnummer=20002128&amp;Artikel=&amp;Paragraf=64&amp;Anlage=&amp;Uebergangsrecht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ufnahmeverfahren.medizinstudieren.at/medat-candidate/log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is.bka.gv.at/NormDokument.wxe?Abfrage=Bundesnormen&amp;Gesetzesnummer=20002128&amp;Artikel=&amp;Paragraf=64&amp;Anlage=&amp;Uebergangsrecht=" TargetMode="External"/><Relationship Id="rId10" Type="http://schemas.openxmlformats.org/officeDocument/2006/relationships/hyperlink" Target="https://aufnahmeverfahren.medizinstudieren.at/medat-candidate/logi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ufnahmeverfahren.medizinstudieren.at/medat-candidate/login" TargetMode="External"/><Relationship Id="rId14" Type="http://schemas.openxmlformats.org/officeDocument/2006/relationships/hyperlink" Target="https://www.ris.bka.gv.at/GeltendeFassung.wxe?Abfrage=Bundesnormen&amp;Gesetzesnummer=20010594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s.bka.gv.at/NormDokument.wxe?Abfrage=Bundesnormen&amp;Gesetzesnummer=20002128&amp;Artikel=&amp;Paragraf=64&amp;Anlage=&amp;Uebergangsrecht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80DD3-DB8D-4F9E-9AA3-25CAF4FE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MUI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Heidegger Martina</dc:creator>
  <cp:keywords/>
  <dc:description/>
  <cp:lastModifiedBy>Bosnjakovic Maria</cp:lastModifiedBy>
  <cp:revision>2</cp:revision>
  <cp:lastPrinted>2024-04-05T06:23:00Z</cp:lastPrinted>
  <dcterms:created xsi:type="dcterms:W3CDTF">2024-08-28T12:27:00Z</dcterms:created>
  <dcterms:modified xsi:type="dcterms:W3CDTF">2024-08-28T12:27:00Z</dcterms:modified>
</cp:coreProperties>
</file>